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868FC" w14:textId="279D7E57" w:rsidR="00ED4562" w:rsidRPr="00ED4562" w:rsidRDefault="00D9265A">
      <w:pPr>
        <w:rPr>
          <w:rFonts w:ascii="Verdana" w:hAnsi="Verdana"/>
        </w:rPr>
      </w:pPr>
      <w:r>
        <w:rPr>
          <w:rFonts w:ascii="Verdana" w:hAnsi="Verdana"/>
          <w:b/>
        </w:rPr>
        <w:t xml:space="preserve">Adult </w:t>
      </w:r>
      <w:r w:rsidR="00AF0D4C">
        <w:rPr>
          <w:rFonts w:ascii="Verdana" w:hAnsi="Verdana"/>
          <w:b/>
        </w:rPr>
        <w:t>Education PMF Task Force Meeting</w:t>
      </w:r>
      <w:r w:rsidR="00E9168B">
        <w:rPr>
          <w:rFonts w:ascii="Verdana" w:hAnsi="Verdana"/>
          <w:b/>
        </w:rPr>
        <w:t xml:space="preserve"> </w:t>
      </w:r>
      <w:r w:rsidR="00ED4562" w:rsidRPr="00ED4562">
        <w:rPr>
          <w:rFonts w:ascii="Verdana" w:hAnsi="Verdana"/>
          <w:b/>
        </w:rPr>
        <w:br/>
      </w:r>
      <w:r w:rsidR="008F70AF">
        <w:rPr>
          <w:rFonts w:ascii="Verdana" w:hAnsi="Verdana"/>
        </w:rPr>
        <w:t>Wednesday, June 20</w:t>
      </w:r>
      <w:r w:rsidR="00ED4562">
        <w:rPr>
          <w:rFonts w:ascii="Verdana" w:hAnsi="Verdana"/>
        </w:rPr>
        <w:t xml:space="preserve"> at 1 PM</w:t>
      </w:r>
    </w:p>
    <w:p w14:paraId="0D807845" w14:textId="63AF45FC" w:rsidR="00AF0D4C" w:rsidRDefault="00ED4562" w:rsidP="00AF0D4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b/>
          <w:u w:val="single"/>
        </w:rPr>
        <w:t>Attendees</w:t>
      </w:r>
      <w:r w:rsidRPr="00ED4562">
        <w:rPr>
          <w:rFonts w:ascii="Verdana" w:hAnsi="Verdana"/>
        </w:rPr>
        <w:t xml:space="preserve">: </w:t>
      </w:r>
      <w:bookmarkStart w:id="0" w:name="_GoBack"/>
      <w:bookmarkEnd w:id="0"/>
    </w:p>
    <w:p w14:paraId="3A259BAB" w14:textId="2741C8FC" w:rsidR="005A39B9" w:rsidRPr="005A39B9" w:rsidRDefault="005A39B9" w:rsidP="005A39B9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5A39B9">
        <w:rPr>
          <w:rFonts w:ascii="Verdana" w:hAnsi="Verdana"/>
          <w:b/>
        </w:rPr>
        <w:t>LEA/Support Organization Representatives</w:t>
      </w:r>
      <w:r w:rsidRPr="005A39B9">
        <w:rPr>
          <w:rFonts w:ascii="Verdana" w:hAnsi="Verdana"/>
        </w:rPr>
        <w:t xml:space="preserve">: </w:t>
      </w:r>
      <w:r w:rsidR="001748C7">
        <w:rPr>
          <w:rFonts w:ascii="Verdana" w:hAnsi="Verdana"/>
        </w:rPr>
        <w:t>Josh Boots (Empower K12)</w:t>
      </w:r>
      <w:r w:rsidRPr="005A39B9">
        <w:rPr>
          <w:rFonts w:ascii="Verdana" w:hAnsi="Verdana"/>
        </w:rPr>
        <w:t xml:space="preserve">Amber </w:t>
      </w:r>
      <w:proofErr w:type="spellStart"/>
      <w:r w:rsidRPr="005A39B9">
        <w:rPr>
          <w:rFonts w:ascii="Verdana" w:hAnsi="Verdana"/>
        </w:rPr>
        <w:t>Eby</w:t>
      </w:r>
      <w:proofErr w:type="spellEnd"/>
      <w:r w:rsidRPr="005A39B9">
        <w:rPr>
          <w:rFonts w:ascii="Verdana" w:hAnsi="Verdana"/>
        </w:rPr>
        <w:t xml:space="preserve"> (LAYC Career Academy PCS), Nicole Hanrahan (LAYC Career Academy PCS), </w:t>
      </w:r>
      <w:r>
        <w:rPr>
          <w:rFonts w:ascii="Verdana" w:hAnsi="Verdana"/>
        </w:rPr>
        <w:t>Anne Herr</w:t>
      </w:r>
      <w:r w:rsidRPr="005A39B9">
        <w:rPr>
          <w:rFonts w:ascii="Verdana" w:hAnsi="Verdana"/>
        </w:rPr>
        <w:t xml:space="preserve"> (FOCUS), </w:t>
      </w:r>
      <w:proofErr w:type="spellStart"/>
      <w:r w:rsidRPr="005A39B9">
        <w:rPr>
          <w:rFonts w:ascii="Verdana" w:hAnsi="Verdana"/>
        </w:rPr>
        <w:t>Lecester</w:t>
      </w:r>
      <w:proofErr w:type="spellEnd"/>
      <w:r w:rsidRPr="005A39B9">
        <w:rPr>
          <w:rFonts w:ascii="Verdana" w:hAnsi="Verdana"/>
        </w:rPr>
        <w:t xml:space="preserve"> Johnson (Academy of Hope Adult PCS), </w:t>
      </w:r>
      <w:proofErr w:type="spellStart"/>
      <w:r w:rsidRPr="005A39B9">
        <w:rPr>
          <w:rFonts w:ascii="Verdana" w:hAnsi="Verdana"/>
        </w:rPr>
        <w:t>Janalee</w:t>
      </w:r>
      <w:proofErr w:type="spellEnd"/>
      <w:r w:rsidRPr="005A39B9">
        <w:rPr>
          <w:rFonts w:ascii="Verdana" w:hAnsi="Verdana"/>
        </w:rPr>
        <w:t xml:space="preserve"> Jordan-Meldrum (YouthBuild PCS), </w:t>
      </w:r>
      <w:r w:rsidR="00262640">
        <w:rPr>
          <w:rFonts w:ascii="Verdana" w:hAnsi="Verdana"/>
        </w:rPr>
        <w:t xml:space="preserve">Matthew Layton (Academy of Hope Adult PCS), </w:t>
      </w:r>
      <w:r w:rsidRPr="005A39B9">
        <w:rPr>
          <w:rFonts w:ascii="Verdana" w:hAnsi="Verdana"/>
        </w:rPr>
        <w:t xml:space="preserve">Sasha </w:t>
      </w:r>
      <w:proofErr w:type="spellStart"/>
      <w:r w:rsidRPr="005A39B9">
        <w:rPr>
          <w:rFonts w:ascii="Verdana" w:hAnsi="Verdana"/>
        </w:rPr>
        <w:t>Lotas</w:t>
      </w:r>
      <w:proofErr w:type="spellEnd"/>
      <w:r w:rsidRPr="005A39B9">
        <w:rPr>
          <w:rFonts w:ascii="Verdana" w:hAnsi="Verdana"/>
        </w:rPr>
        <w:t xml:space="preserve"> (Academy of Hope Adult PCS), Ryan Monroe (Carlos Rosario PCS), </w:t>
      </w:r>
      <w:proofErr w:type="spellStart"/>
      <w:r w:rsidRPr="005A39B9">
        <w:rPr>
          <w:rFonts w:ascii="Verdana" w:hAnsi="Verdana"/>
        </w:rPr>
        <w:t>Oluremi</w:t>
      </w:r>
      <w:proofErr w:type="spellEnd"/>
      <w:r w:rsidRPr="005A39B9">
        <w:rPr>
          <w:rFonts w:ascii="Verdana" w:hAnsi="Verdana"/>
        </w:rPr>
        <w:t xml:space="preserve"> Olufemi (YouthBuild PCS),</w:t>
      </w:r>
      <w:r w:rsidR="001748C7">
        <w:rPr>
          <w:rFonts w:ascii="Verdana" w:hAnsi="Verdana"/>
        </w:rPr>
        <w:t xml:space="preserve"> Alexandra Pardo (Ten Square),</w:t>
      </w:r>
      <w:r w:rsidRPr="005A39B9">
        <w:rPr>
          <w:rFonts w:ascii="Verdana" w:hAnsi="Verdana"/>
        </w:rPr>
        <w:t xml:space="preserve"> </w:t>
      </w:r>
      <w:r w:rsidR="001748C7">
        <w:rPr>
          <w:rFonts w:ascii="Verdana" w:hAnsi="Verdana"/>
        </w:rPr>
        <w:t xml:space="preserve">Lorie </w:t>
      </w:r>
      <w:proofErr w:type="spellStart"/>
      <w:r w:rsidR="001748C7">
        <w:rPr>
          <w:rFonts w:ascii="Verdana" w:hAnsi="Verdana"/>
        </w:rPr>
        <w:t>Preheim</w:t>
      </w:r>
      <w:proofErr w:type="spellEnd"/>
      <w:r w:rsidR="001748C7">
        <w:rPr>
          <w:rFonts w:ascii="Verdana" w:hAnsi="Verdana"/>
        </w:rPr>
        <w:t xml:space="preserve"> (Briya PCS), </w:t>
      </w:r>
      <w:r w:rsidRPr="005A39B9">
        <w:rPr>
          <w:rFonts w:ascii="Verdana" w:hAnsi="Verdana"/>
        </w:rPr>
        <w:t xml:space="preserve">Rachel </w:t>
      </w:r>
      <w:proofErr w:type="spellStart"/>
      <w:r w:rsidRPr="005A39B9">
        <w:rPr>
          <w:rFonts w:ascii="Verdana" w:hAnsi="Verdana"/>
        </w:rPr>
        <w:t>PremDas</w:t>
      </w:r>
      <w:proofErr w:type="spellEnd"/>
      <w:r w:rsidRPr="005A39B9">
        <w:rPr>
          <w:rFonts w:ascii="Verdana" w:hAnsi="Verdana"/>
        </w:rPr>
        <w:t xml:space="preserve"> (Community College Prep PCS,) </w:t>
      </w:r>
      <w:r w:rsidR="001748C7">
        <w:rPr>
          <w:rFonts w:ascii="Verdana" w:hAnsi="Verdana"/>
        </w:rPr>
        <w:t xml:space="preserve">Karen Rivas (Carlos Rosario PCS), </w:t>
      </w:r>
      <w:r w:rsidRPr="005A39B9">
        <w:rPr>
          <w:rFonts w:ascii="Verdana" w:hAnsi="Verdana"/>
        </w:rPr>
        <w:t xml:space="preserve">Adriana Rodriguez (Maya Angelou PCS), Tanyr Seay (The Next Step PCS), Andrew Touchette (YouthBuild PCS), </w:t>
      </w:r>
      <w:r w:rsidR="001748C7">
        <w:rPr>
          <w:rFonts w:ascii="Verdana" w:hAnsi="Verdana"/>
        </w:rPr>
        <w:t xml:space="preserve">Heather </w:t>
      </w:r>
      <w:proofErr w:type="spellStart"/>
      <w:r w:rsidR="001748C7">
        <w:rPr>
          <w:rFonts w:ascii="Verdana" w:hAnsi="Verdana"/>
        </w:rPr>
        <w:t>Wathington</w:t>
      </w:r>
      <w:proofErr w:type="spellEnd"/>
      <w:r w:rsidR="001748C7">
        <w:rPr>
          <w:rFonts w:ascii="Verdana" w:hAnsi="Verdana"/>
        </w:rPr>
        <w:t xml:space="preserve"> (Maya Angelou PCS), </w:t>
      </w:r>
      <w:r w:rsidRPr="005A39B9">
        <w:rPr>
          <w:rFonts w:ascii="Verdana" w:hAnsi="Verdana"/>
        </w:rPr>
        <w:t>Shannon Webster (Community College Prep PCS), Sadi</w:t>
      </w:r>
      <w:r>
        <w:rPr>
          <w:rFonts w:ascii="Verdana" w:hAnsi="Verdana"/>
        </w:rPr>
        <w:t>a</w:t>
      </w:r>
      <w:r w:rsidRPr="005A39B9">
        <w:rPr>
          <w:rFonts w:ascii="Verdana" w:hAnsi="Verdana"/>
        </w:rPr>
        <w:t xml:space="preserve"> Whit</w:t>
      </w:r>
      <w:r>
        <w:rPr>
          <w:rFonts w:ascii="Verdana" w:hAnsi="Verdana"/>
        </w:rPr>
        <w:t>e (Community College Prep PCS)</w:t>
      </w:r>
    </w:p>
    <w:p w14:paraId="1492B80D" w14:textId="00C9AAE3" w:rsidR="00ED4562" w:rsidRPr="00D75D91" w:rsidRDefault="00D75D91" w:rsidP="00D75D91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D75D91">
        <w:rPr>
          <w:rFonts w:ascii="Verdana" w:hAnsi="Verdana"/>
        </w:rPr>
        <w:t xml:space="preserve">DC PCSB </w:t>
      </w:r>
      <w:r>
        <w:rPr>
          <w:rFonts w:ascii="Verdana" w:hAnsi="Verdana"/>
        </w:rPr>
        <w:t>Board/</w:t>
      </w:r>
      <w:r w:rsidRPr="00D75D91">
        <w:rPr>
          <w:rFonts w:ascii="Verdana" w:hAnsi="Verdana"/>
        </w:rPr>
        <w:t xml:space="preserve">Staff: </w:t>
      </w:r>
      <w:r>
        <w:rPr>
          <w:rFonts w:ascii="Verdana" w:hAnsi="Verdana"/>
        </w:rPr>
        <w:t xml:space="preserve">Rick Cruz, </w:t>
      </w:r>
      <w:r w:rsidRPr="00D75D91">
        <w:rPr>
          <w:rFonts w:ascii="Verdana" w:hAnsi="Verdana"/>
        </w:rPr>
        <w:t>Naomi DeVeaux, Erin Kupferberg, Melodi Sampson, Paul Capp</w:t>
      </w:r>
      <w:r>
        <w:rPr>
          <w:rFonts w:ascii="Verdana" w:hAnsi="Verdana"/>
        </w:rPr>
        <w:t>, Pete Petrin, Ashim Agarwal</w:t>
      </w:r>
    </w:p>
    <w:p w14:paraId="7B62BFB0" w14:textId="77777777" w:rsidR="00D75D91" w:rsidRPr="00ED4562" w:rsidRDefault="00D75D91" w:rsidP="00D75D91">
      <w:pPr>
        <w:pStyle w:val="ListParagraph"/>
        <w:ind w:left="1440"/>
        <w:rPr>
          <w:rFonts w:ascii="Verdana" w:hAnsi="Verdana"/>
        </w:rPr>
      </w:pPr>
    </w:p>
    <w:p w14:paraId="5BAB7B0D" w14:textId="7450C0A0" w:rsidR="00ED4562" w:rsidRDefault="008474F2" w:rsidP="00ED4562">
      <w:pPr>
        <w:pStyle w:val="ListParagraph"/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DC PCSB Considerations</w:t>
      </w:r>
    </w:p>
    <w:p w14:paraId="58FA9E61" w14:textId="33C289C4" w:rsidR="003D1E81" w:rsidRPr="009328DA" w:rsidRDefault="008B331E" w:rsidP="003D1E81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9328DA">
        <w:rPr>
          <w:rFonts w:ascii="Verdana" w:hAnsi="Verdana"/>
        </w:rPr>
        <w:t>DC PCSB states that its commitments</w:t>
      </w:r>
      <w:r w:rsidR="009328DA" w:rsidRPr="009328DA">
        <w:rPr>
          <w:rFonts w:ascii="Verdana" w:hAnsi="Verdana"/>
        </w:rPr>
        <w:t xml:space="preserve"> are to maintain year-to-year reliability and holding schools to high standards</w:t>
      </w:r>
      <w:r w:rsidR="00B94E3C">
        <w:rPr>
          <w:rFonts w:ascii="Verdana" w:hAnsi="Verdana"/>
        </w:rPr>
        <w:t xml:space="preserve">, and that the following proposals reflect a modified version of the schools’ proposal with these priorities in mind. </w:t>
      </w:r>
    </w:p>
    <w:p w14:paraId="063C7765" w14:textId="77777777" w:rsidR="003D1E81" w:rsidRDefault="003D1E81" w:rsidP="003D1E81">
      <w:pPr>
        <w:pStyle w:val="ListParagraph"/>
        <w:ind w:left="1440"/>
        <w:rPr>
          <w:rFonts w:ascii="Verdana" w:hAnsi="Verdana"/>
          <w:b/>
          <w:u w:val="single"/>
        </w:rPr>
      </w:pPr>
    </w:p>
    <w:p w14:paraId="0D64899A" w14:textId="1EBF151D" w:rsidR="008474F2" w:rsidRDefault="00B46AD1" w:rsidP="00ED4562">
      <w:pPr>
        <w:pStyle w:val="ListParagraph"/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Student Progress Proposal</w:t>
      </w:r>
    </w:p>
    <w:p w14:paraId="4EA77581" w14:textId="7D324AF5" w:rsidR="00B46AD1" w:rsidRDefault="00B46AD1" w:rsidP="00B46AD1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B46AD1">
        <w:rPr>
          <w:rFonts w:ascii="Verdana" w:hAnsi="Verdana"/>
        </w:rPr>
        <w:t xml:space="preserve">DC PCSB proposes </w:t>
      </w:r>
      <w:r w:rsidR="00C93460">
        <w:rPr>
          <w:rFonts w:ascii="Verdana" w:hAnsi="Verdana"/>
        </w:rPr>
        <w:t>collapsing</w:t>
      </w:r>
      <w:r w:rsidR="00E053D8">
        <w:rPr>
          <w:rFonts w:ascii="Verdana" w:hAnsi="Verdana"/>
        </w:rPr>
        <w:t xml:space="preserve"> measure into one r</w:t>
      </w:r>
      <w:r w:rsidR="00C93460">
        <w:rPr>
          <w:rFonts w:ascii="Verdana" w:hAnsi="Verdana"/>
        </w:rPr>
        <w:t>eporting overall growth with one floor and one target.</w:t>
      </w:r>
      <w:r w:rsidR="00E053D8">
        <w:rPr>
          <w:rFonts w:ascii="Verdana" w:hAnsi="Verdana"/>
        </w:rPr>
        <w:t xml:space="preserve"> </w:t>
      </w:r>
      <w:r w:rsidR="00C93460">
        <w:rPr>
          <w:rFonts w:ascii="Verdana" w:hAnsi="Verdana"/>
        </w:rPr>
        <w:t>Maintain</w:t>
      </w:r>
      <w:r w:rsidRPr="00B46AD1">
        <w:rPr>
          <w:rFonts w:ascii="Verdana" w:hAnsi="Verdana"/>
        </w:rPr>
        <w:t xml:space="preserve"> business rules for de</w:t>
      </w:r>
      <w:r w:rsidR="00E053D8">
        <w:rPr>
          <w:rFonts w:ascii="Verdana" w:hAnsi="Verdana"/>
        </w:rPr>
        <w:t xml:space="preserve">monstrating educational gains, </w:t>
      </w:r>
      <w:r w:rsidR="00C93460">
        <w:rPr>
          <w:rFonts w:ascii="Verdana" w:hAnsi="Verdana"/>
        </w:rPr>
        <w:t xml:space="preserve">continue to collect all ABE and ESL test data (which will allow continued growth reporting by program area). </w:t>
      </w:r>
    </w:p>
    <w:p w14:paraId="0D728B0C" w14:textId="77777777" w:rsidR="00C93460" w:rsidRPr="00B46AD1" w:rsidRDefault="00C93460" w:rsidP="00C93460">
      <w:pPr>
        <w:pStyle w:val="ListParagraph"/>
        <w:ind w:left="1440"/>
        <w:rPr>
          <w:rFonts w:ascii="Verdana" w:hAnsi="Verdana"/>
        </w:rPr>
      </w:pPr>
    </w:p>
    <w:p w14:paraId="43BAC4D3" w14:textId="768A9A88" w:rsidR="008474F2" w:rsidRDefault="008474F2" w:rsidP="00ED4562">
      <w:pPr>
        <w:pStyle w:val="ListParagraph"/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Summative Scoring Proposal</w:t>
      </w:r>
    </w:p>
    <w:p w14:paraId="3E57399C" w14:textId="7E4D1084" w:rsidR="00B46AD1" w:rsidRDefault="00B46AD1" w:rsidP="00B46AD1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B46AD1">
        <w:rPr>
          <w:rFonts w:ascii="Verdana" w:hAnsi="Verdana"/>
        </w:rPr>
        <w:t>DC PCSB proposes summative scoring, with 60% weight on Student Progress &amp; Achievement (weighted based on n-size), 20% on College and Career Readiness, 7.5% for Attendance and 12.5% for Persistence</w:t>
      </w:r>
      <w:r w:rsidR="00784D84">
        <w:rPr>
          <w:rFonts w:ascii="Verdana" w:hAnsi="Verdana"/>
        </w:rPr>
        <w:t>.</w:t>
      </w:r>
    </w:p>
    <w:p w14:paraId="55FD7ECC" w14:textId="512DEEDE" w:rsidR="00A37AC9" w:rsidRDefault="00C93460" w:rsidP="00B46AD1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W</w:t>
      </w:r>
      <w:r w:rsidR="00A37AC9">
        <w:rPr>
          <w:rFonts w:ascii="Verdana" w:hAnsi="Verdana"/>
        </w:rPr>
        <w:t xml:space="preserve">eight on </w:t>
      </w:r>
      <w:r>
        <w:rPr>
          <w:rFonts w:ascii="Verdana" w:hAnsi="Verdana"/>
        </w:rPr>
        <w:t>A</w:t>
      </w:r>
      <w:r w:rsidR="00A37AC9">
        <w:rPr>
          <w:rFonts w:ascii="Verdana" w:hAnsi="Verdana"/>
        </w:rPr>
        <w:t>chievement/</w:t>
      </w:r>
      <w:r>
        <w:rPr>
          <w:rFonts w:ascii="Verdana" w:hAnsi="Verdana"/>
        </w:rPr>
        <w:t>P</w:t>
      </w:r>
      <w:r w:rsidR="00A37AC9">
        <w:rPr>
          <w:rFonts w:ascii="Verdana" w:hAnsi="Verdana"/>
        </w:rPr>
        <w:t>rogress emphasizes city</w:t>
      </w:r>
      <w:r>
        <w:rPr>
          <w:rFonts w:ascii="Verdana" w:hAnsi="Verdana"/>
        </w:rPr>
        <w:t>’s</w:t>
      </w:r>
      <w:r w:rsidR="00A37AC9">
        <w:rPr>
          <w:rFonts w:ascii="Verdana" w:hAnsi="Verdana"/>
        </w:rPr>
        <w:t xml:space="preserve"> investment in adult lit</w:t>
      </w:r>
      <w:r w:rsidR="00784D84">
        <w:rPr>
          <w:rFonts w:ascii="Verdana" w:hAnsi="Verdana"/>
        </w:rPr>
        <w:t>eracy.</w:t>
      </w:r>
    </w:p>
    <w:p w14:paraId="460AC312" w14:textId="7DE999C0" w:rsidR="00A37AC9" w:rsidRDefault="00A37AC9" w:rsidP="00B46AD1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Weighting options fo</w:t>
      </w:r>
      <w:r w:rsidR="008B331E">
        <w:rPr>
          <w:rFonts w:ascii="Verdana" w:hAnsi="Verdana"/>
        </w:rPr>
        <w:t xml:space="preserve">r Student Progress and Achievement: </w:t>
      </w:r>
      <w:r w:rsidR="00D9265A" w:rsidRPr="00D9265A">
        <w:rPr>
          <w:rFonts w:ascii="Verdana" w:hAnsi="Verdana"/>
          <w:b/>
        </w:rPr>
        <w:t>Option 1)</w:t>
      </w:r>
      <w:r w:rsidR="00D9265A">
        <w:rPr>
          <w:rFonts w:ascii="Verdana" w:hAnsi="Verdana"/>
        </w:rPr>
        <w:t xml:space="preserve"> </w:t>
      </w:r>
      <w:r w:rsidR="008B331E">
        <w:rPr>
          <w:rFonts w:ascii="Verdana" w:hAnsi="Verdana"/>
        </w:rPr>
        <w:t>weight base</w:t>
      </w:r>
      <w:r w:rsidR="00210F88">
        <w:rPr>
          <w:rFonts w:ascii="Verdana" w:hAnsi="Verdana"/>
        </w:rPr>
        <w:t xml:space="preserve">d on straight n-size, </w:t>
      </w:r>
      <w:r w:rsidR="00D9265A" w:rsidRPr="00D9265A">
        <w:rPr>
          <w:rFonts w:ascii="Verdana" w:hAnsi="Verdana"/>
          <w:b/>
        </w:rPr>
        <w:t>Option 2)</w:t>
      </w:r>
      <w:r w:rsidR="00D9265A">
        <w:rPr>
          <w:rFonts w:ascii="Verdana" w:hAnsi="Verdana"/>
        </w:rPr>
        <w:t xml:space="preserve"> </w:t>
      </w:r>
      <w:r w:rsidR="008B331E">
        <w:rPr>
          <w:rFonts w:ascii="Verdana" w:hAnsi="Verdana"/>
        </w:rPr>
        <w:t xml:space="preserve">double the </w:t>
      </w:r>
      <w:r w:rsidR="00320B47">
        <w:rPr>
          <w:rFonts w:ascii="Verdana" w:hAnsi="Verdana"/>
        </w:rPr>
        <w:t xml:space="preserve">Student </w:t>
      </w:r>
      <w:r w:rsidR="008B331E">
        <w:rPr>
          <w:rFonts w:ascii="Verdana" w:hAnsi="Verdana"/>
        </w:rPr>
        <w:t xml:space="preserve">Achievement n-size before </w:t>
      </w:r>
      <w:r w:rsidR="00210F88">
        <w:rPr>
          <w:rFonts w:ascii="Verdana" w:hAnsi="Verdana"/>
        </w:rPr>
        <w:t xml:space="preserve">weighting, or </w:t>
      </w:r>
      <w:r w:rsidR="00D9265A" w:rsidRPr="00D9265A">
        <w:rPr>
          <w:rFonts w:ascii="Verdana" w:hAnsi="Verdana"/>
          <w:b/>
        </w:rPr>
        <w:t>Option 3)</w:t>
      </w:r>
      <w:r w:rsidR="00D9265A">
        <w:rPr>
          <w:rFonts w:ascii="Verdana" w:hAnsi="Verdana"/>
        </w:rPr>
        <w:t xml:space="preserve"> </w:t>
      </w:r>
      <w:r w:rsidR="00DE1D68">
        <w:rPr>
          <w:rFonts w:ascii="Verdana" w:hAnsi="Verdana"/>
        </w:rPr>
        <w:t xml:space="preserve">separate out ABE, </w:t>
      </w:r>
      <w:r w:rsidR="00210F88">
        <w:rPr>
          <w:rFonts w:ascii="Verdana" w:hAnsi="Verdana"/>
        </w:rPr>
        <w:t>ESL</w:t>
      </w:r>
      <w:r w:rsidR="00DE1D68">
        <w:rPr>
          <w:rFonts w:ascii="Verdana" w:hAnsi="Verdana"/>
        </w:rPr>
        <w:t>, and GED</w:t>
      </w:r>
      <w:r w:rsidR="00210F88">
        <w:rPr>
          <w:rFonts w:ascii="Verdana" w:hAnsi="Verdana"/>
        </w:rPr>
        <w:t xml:space="preserve"> before weighting</w:t>
      </w:r>
      <w:r w:rsidR="00784D84">
        <w:rPr>
          <w:rFonts w:ascii="Verdana" w:hAnsi="Verdana"/>
        </w:rPr>
        <w:t>.</w:t>
      </w:r>
    </w:p>
    <w:p w14:paraId="76AA2B60" w14:textId="6FA1A8B5" w:rsidR="00A403A2" w:rsidRDefault="00A403A2" w:rsidP="00A403A2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Q: How is separating out ESL/ABE make this different?</w:t>
      </w:r>
    </w:p>
    <w:p w14:paraId="27D2123B" w14:textId="2B0417C5" w:rsidR="00A403A2" w:rsidRDefault="00A403A2" w:rsidP="00A403A2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A: Changing floors and targets</w:t>
      </w:r>
      <w:r w:rsidR="00784D84">
        <w:rPr>
          <w:rFonts w:ascii="Verdana" w:hAnsi="Verdana"/>
        </w:rPr>
        <w:t>.</w:t>
      </w:r>
    </w:p>
    <w:p w14:paraId="234EE0DE" w14:textId="6AD61EC2" w:rsidR="00C86419" w:rsidRDefault="00C86419" w:rsidP="00A403A2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Q: </w:t>
      </w:r>
      <w:r w:rsidR="008F70AF">
        <w:rPr>
          <w:rFonts w:ascii="Verdana" w:hAnsi="Verdana"/>
        </w:rPr>
        <w:t xml:space="preserve">Can you clarify weighting as it relates to unique students? </w:t>
      </w:r>
    </w:p>
    <w:p w14:paraId="3366DE15" w14:textId="5684585E" w:rsidR="008F70AF" w:rsidRDefault="008F70AF" w:rsidP="00A403A2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A: Students can count more than once in the </w:t>
      </w:r>
      <w:r w:rsidR="00147448">
        <w:rPr>
          <w:rFonts w:ascii="Verdana" w:hAnsi="Verdana"/>
        </w:rPr>
        <w:t xml:space="preserve">different </w:t>
      </w:r>
      <w:r>
        <w:rPr>
          <w:rFonts w:ascii="Verdana" w:hAnsi="Verdana"/>
        </w:rPr>
        <w:t xml:space="preserve">achievement </w:t>
      </w:r>
      <w:r w:rsidR="00147448">
        <w:rPr>
          <w:rFonts w:ascii="Verdana" w:hAnsi="Verdana"/>
        </w:rPr>
        <w:t>measures (e.g.</w:t>
      </w:r>
      <w:r w:rsidR="00DE1D68">
        <w:rPr>
          <w:rFonts w:ascii="Verdana" w:hAnsi="Verdana"/>
        </w:rPr>
        <w:t>,</w:t>
      </w:r>
      <w:r w:rsidR="00147448">
        <w:rPr>
          <w:rFonts w:ascii="Verdana" w:hAnsi="Verdana"/>
        </w:rPr>
        <w:t xml:space="preserve"> different GED Ready tests), but the number of unique students would be the n-size for weighting</w:t>
      </w:r>
      <w:r w:rsidR="00784D84">
        <w:rPr>
          <w:rFonts w:ascii="Verdana" w:hAnsi="Verdana"/>
        </w:rPr>
        <w:t>.</w:t>
      </w:r>
    </w:p>
    <w:p w14:paraId="017C4312" w14:textId="77777777" w:rsidR="00210F88" w:rsidRPr="00B46AD1" w:rsidRDefault="00210F88" w:rsidP="00210F88">
      <w:pPr>
        <w:pStyle w:val="ListParagraph"/>
        <w:ind w:left="1440"/>
        <w:rPr>
          <w:rFonts w:ascii="Verdana" w:hAnsi="Verdana"/>
        </w:rPr>
      </w:pPr>
    </w:p>
    <w:p w14:paraId="6DBAE7A6" w14:textId="4570CA69" w:rsidR="008474F2" w:rsidRDefault="008474F2" w:rsidP="00ED4562">
      <w:pPr>
        <w:pStyle w:val="ListParagraph"/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Floor and Target-Setting Business Rule Proposals</w:t>
      </w:r>
    </w:p>
    <w:p w14:paraId="1311E6FA" w14:textId="4D80DA2C" w:rsidR="007D694F" w:rsidRDefault="00F8342C" w:rsidP="007D694F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F8342C">
        <w:rPr>
          <w:rFonts w:ascii="Verdana" w:hAnsi="Verdana"/>
        </w:rPr>
        <w:t xml:space="preserve">For </w:t>
      </w:r>
      <w:r w:rsidRPr="00521679">
        <w:rPr>
          <w:rFonts w:ascii="Verdana" w:hAnsi="Verdana"/>
          <w:b/>
        </w:rPr>
        <w:t>Student Progress</w:t>
      </w:r>
      <w:r w:rsidRPr="00F8342C">
        <w:rPr>
          <w:rFonts w:ascii="Verdana" w:hAnsi="Verdana"/>
        </w:rPr>
        <w:t>, set target at 100 and floor at the 10</w:t>
      </w:r>
      <w:r w:rsidRPr="00F8342C">
        <w:rPr>
          <w:rFonts w:ascii="Verdana" w:hAnsi="Verdana"/>
          <w:vertAlign w:val="superscript"/>
        </w:rPr>
        <w:t>th</w:t>
      </w:r>
      <w:r w:rsidRPr="00F8342C">
        <w:rPr>
          <w:rFonts w:ascii="Verdana" w:hAnsi="Verdana"/>
        </w:rPr>
        <w:t xml:space="preserve"> percentile </w:t>
      </w:r>
      <w:r>
        <w:rPr>
          <w:rFonts w:ascii="Verdana" w:hAnsi="Verdana"/>
        </w:rPr>
        <w:t xml:space="preserve">with a two-year transition period </w:t>
      </w:r>
      <w:r w:rsidR="00DE1D68">
        <w:rPr>
          <w:rFonts w:ascii="Verdana" w:hAnsi="Verdana"/>
        </w:rPr>
        <w:t xml:space="preserve">in which the floor is set at 20. </w:t>
      </w:r>
    </w:p>
    <w:p w14:paraId="1F06F1EC" w14:textId="77115B37" w:rsidR="00F8342C" w:rsidRDefault="00F8342C" w:rsidP="00F8342C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Using percentiles for floor allows for biannual floor calculation to allow for adjustments based on actual performance, and using transitional floor allows for maintaining reliability in the short-term.</w:t>
      </w:r>
    </w:p>
    <w:p w14:paraId="6FE5440A" w14:textId="282338CB" w:rsidR="00BB541F" w:rsidRDefault="00BB541F" w:rsidP="00F8342C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DC PCSB notes that 33.3% change rule will apply (e.g.</w:t>
      </w:r>
      <w:r w:rsidR="00DE1D68">
        <w:rPr>
          <w:rFonts w:ascii="Verdana" w:hAnsi="Verdana"/>
        </w:rPr>
        <w:t>,</w:t>
      </w:r>
      <w:r>
        <w:rPr>
          <w:rFonts w:ascii="Verdana" w:hAnsi="Verdana"/>
        </w:rPr>
        <w:t xml:space="preserve"> if 10</w:t>
      </w:r>
      <w:r w:rsidRPr="00BB541F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percentile stays near 50, the change in two years will be +33</w:t>
      </w:r>
      <w:r w:rsidR="00E83943">
        <w:rPr>
          <w:rFonts w:ascii="Verdana" w:hAnsi="Verdana"/>
        </w:rPr>
        <w:t>.3</w:t>
      </w:r>
      <w:r>
        <w:rPr>
          <w:rFonts w:ascii="Verdana" w:hAnsi="Verdana"/>
        </w:rPr>
        <w:t>% of 20, or 2</w:t>
      </w:r>
      <w:r w:rsidR="00784D84">
        <w:rPr>
          <w:rFonts w:ascii="Verdana" w:hAnsi="Verdana"/>
        </w:rPr>
        <w:t>6.6%).</w:t>
      </w:r>
    </w:p>
    <w:p w14:paraId="0BBDC23F" w14:textId="19D1F521" w:rsidR="00BB541F" w:rsidRDefault="00BB541F" w:rsidP="00F8342C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Q: Is this the same business rule for floors/targets as PK-8? </w:t>
      </w:r>
    </w:p>
    <w:p w14:paraId="1620D888" w14:textId="4FCF6FE0" w:rsidR="00BB541F" w:rsidRDefault="00BB541F" w:rsidP="00521679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A: Yes.</w:t>
      </w:r>
    </w:p>
    <w:p w14:paraId="6403D045" w14:textId="71738E8C" w:rsidR="00521679" w:rsidRDefault="00521679" w:rsidP="00521679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For </w:t>
      </w:r>
      <w:r w:rsidRPr="00D5110A">
        <w:rPr>
          <w:rFonts w:ascii="Verdana" w:hAnsi="Verdana"/>
          <w:b/>
        </w:rPr>
        <w:t>Student Achievement</w:t>
      </w:r>
      <w:r>
        <w:rPr>
          <w:rFonts w:ascii="Verdana" w:hAnsi="Verdana"/>
        </w:rPr>
        <w:t xml:space="preserve">, maintain current floors </w:t>
      </w:r>
      <w:r w:rsidR="00D5110A">
        <w:rPr>
          <w:rFonts w:ascii="Verdana" w:hAnsi="Verdana"/>
        </w:rPr>
        <w:t>and targets (40 and 100) for SY 2018-19, then move floor to 10</w:t>
      </w:r>
      <w:r w:rsidR="00D5110A" w:rsidRPr="00D5110A">
        <w:rPr>
          <w:rFonts w:ascii="Verdana" w:hAnsi="Verdana"/>
          <w:vertAlign w:val="superscript"/>
        </w:rPr>
        <w:t>th</w:t>
      </w:r>
      <w:r w:rsidR="00D5110A">
        <w:rPr>
          <w:rFonts w:ascii="Verdana" w:hAnsi="Verdana"/>
        </w:rPr>
        <w:t xml:space="preserve"> percentile (with same 33.3% change limitation)</w:t>
      </w:r>
    </w:p>
    <w:p w14:paraId="793095A1" w14:textId="3DFCF609" w:rsidR="00430A1B" w:rsidRDefault="00430A1B" w:rsidP="00430A1B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Q: Why the one-year hold?</w:t>
      </w:r>
    </w:p>
    <w:p w14:paraId="2C778605" w14:textId="4AEFB8A1" w:rsidR="00430A1B" w:rsidRDefault="00430A1B" w:rsidP="00430A1B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A: Both for reliability and prevent all AE measures from seeing adjustments in floors and targets simultaneously</w:t>
      </w:r>
      <w:r w:rsidR="00784D84">
        <w:rPr>
          <w:rFonts w:ascii="Verdana" w:hAnsi="Verdana"/>
        </w:rPr>
        <w:t>.</w:t>
      </w:r>
    </w:p>
    <w:p w14:paraId="31D103DE" w14:textId="66405E44" w:rsidR="00430A1B" w:rsidRDefault="00430A1B" w:rsidP="00430A1B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Q: And then this 10</w:t>
      </w:r>
      <w:r w:rsidRPr="00430A1B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percentile rule begins in SY 2019-20? </w:t>
      </w:r>
    </w:p>
    <w:p w14:paraId="6C5AA913" w14:textId="4E6D4153" w:rsidR="00430A1B" w:rsidRDefault="00430A1B" w:rsidP="00430A1B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A: Correct.</w:t>
      </w:r>
    </w:p>
    <w:p w14:paraId="5684B2C6" w14:textId="1333B21F" w:rsidR="009D6FF6" w:rsidRDefault="00430A1B" w:rsidP="009D6FF6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Q: What is the maximum floor? </w:t>
      </w:r>
      <w:r w:rsidR="009D6FF6">
        <w:rPr>
          <w:rFonts w:ascii="Verdana" w:hAnsi="Verdana"/>
        </w:rPr>
        <w:t>What if 10</w:t>
      </w:r>
      <w:r w:rsidR="009D6FF6" w:rsidRPr="009D6FF6">
        <w:rPr>
          <w:rFonts w:ascii="Verdana" w:hAnsi="Verdana"/>
          <w:vertAlign w:val="superscript"/>
        </w:rPr>
        <w:t>th</w:t>
      </w:r>
      <w:r w:rsidR="009D6FF6">
        <w:rPr>
          <w:rFonts w:ascii="Verdana" w:hAnsi="Verdana"/>
        </w:rPr>
        <w:t xml:space="preserve"> percentile of Subject Achievement Test exceeds say 80?  </w:t>
      </w:r>
    </w:p>
    <w:p w14:paraId="1A8206C4" w14:textId="16B863F1" w:rsidR="006E2DEE" w:rsidRDefault="009D6FF6" w:rsidP="006E2DEE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A: </w:t>
      </w:r>
      <w:r w:rsidR="006E2DEE">
        <w:rPr>
          <w:rFonts w:ascii="Verdana" w:hAnsi="Verdana"/>
        </w:rPr>
        <w:t xml:space="preserve">DC PCSB open to </w:t>
      </w:r>
      <w:r w:rsidR="00E83943">
        <w:rPr>
          <w:rFonts w:ascii="Verdana" w:hAnsi="Verdana"/>
        </w:rPr>
        <w:t xml:space="preserve">negotiating </w:t>
      </w:r>
      <w:r w:rsidR="006E2DEE">
        <w:rPr>
          <w:rFonts w:ascii="Verdana" w:hAnsi="Verdana"/>
        </w:rPr>
        <w:t>floors (no immediate suggestions by task force)</w:t>
      </w:r>
      <w:r w:rsidR="00784D84">
        <w:rPr>
          <w:rFonts w:ascii="Verdana" w:hAnsi="Verdana"/>
        </w:rPr>
        <w:t>.</w:t>
      </w:r>
    </w:p>
    <w:p w14:paraId="431F7BD3" w14:textId="77777777" w:rsidR="00F66623" w:rsidRDefault="006E2DEE" w:rsidP="00F66623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For </w:t>
      </w:r>
      <w:r w:rsidRPr="000D0DF1">
        <w:rPr>
          <w:rFonts w:ascii="Verdana" w:hAnsi="Verdana"/>
          <w:b/>
        </w:rPr>
        <w:t>College and Career Readiness</w:t>
      </w:r>
      <w:r>
        <w:rPr>
          <w:rFonts w:ascii="Verdana" w:hAnsi="Verdana"/>
        </w:rPr>
        <w:t>, set targets at 95 and floors at</w:t>
      </w:r>
      <w:r w:rsidR="000D0DF1">
        <w:rPr>
          <w:rFonts w:ascii="Verdana" w:hAnsi="Verdana"/>
        </w:rPr>
        <w:t xml:space="preserve"> the lower of national or local</w:t>
      </w:r>
      <w:r>
        <w:rPr>
          <w:rFonts w:ascii="Verdana" w:hAnsi="Verdana"/>
        </w:rPr>
        <w:t xml:space="preserve"> 10</w:t>
      </w:r>
      <w:r w:rsidRPr="006E2DEE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</w:t>
      </w:r>
      <w:r w:rsidR="000D0DF1">
        <w:rPr>
          <w:rFonts w:ascii="Verdana" w:hAnsi="Verdana"/>
        </w:rPr>
        <w:t>percentile</w:t>
      </w:r>
    </w:p>
    <w:p w14:paraId="76ED92BC" w14:textId="3388151A" w:rsidR="00F66623" w:rsidRDefault="001939A4" w:rsidP="00F66623">
      <w:pPr>
        <w:pStyle w:val="ListParagraph"/>
        <w:numPr>
          <w:ilvl w:val="2"/>
          <w:numId w:val="1"/>
        </w:numPr>
        <w:rPr>
          <w:rFonts w:ascii="Verdana" w:hAnsi="Verdana"/>
        </w:rPr>
      </w:pPr>
      <w:r w:rsidRPr="00F66623">
        <w:rPr>
          <w:rFonts w:ascii="Verdana" w:hAnsi="Verdana"/>
        </w:rPr>
        <w:t xml:space="preserve">Q: 95 appears to be a significant jump; </w:t>
      </w:r>
      <w:r w:rsidR="00F66623">
        <w:rPr>
          <w:rFonts w:ascii="Verdana" w:hAnsi="Verdana"/>
        </w:rPr>
        <w:t>is that appropriate?</w:t>
      </w:r>
    </w:p>
    <w:p w14:paraId="0B2D55FE" w14:textId="74EBD3F2" w:rsidR="00F66623" w:rsidRDefault="00F66623" w:rsidP="00F66623">
      <w:pPr>
        <w:pStyle w:val="ListParagraph"/>
        <w:numPr>
          <w:ilvl w:val="2"/>
          <w:numId w:val="1"/>
        </w:numPr>
        <w:rPr>
          <w:rFonts w:ascii="Verdana" w:hAnsi="Verdana"/>
        </w:rPr>
      </w:pPr>
      <w:r w:rsidRPr="00F66623">
        <w:rPr>
          <w:rFonts w:ascii="Verdana" w:hAnsi="Verdana"/>
        </w:rPr>
        <w:t>A: Allowing for 50% response rate</w:t>
      </w:r>
      <w:r>
        <w:rPr>
          <w:rFonts w:ascii="Verdana" w:hAnsi="Verdana"/>
        </w:rPr>
        <w:t xml:space="preserve"> does not penalize schools for failing to follow-up with part of cohort; </w:t>
      </w:r>
      <w:r w:rsidR="004F4B8D">
        <w:rPr>
          <w:rFonts w:ascii="Verdana" w:hAnsi="Verdana"/>
        </w:rPr>
        <w:t>this flexibility goes beyond national guidelines and thus higher expectations are appropriate.</w:t>
      </w:r>
    </w:p>
    <w:p w14:paraId="261F5117" w14:textId="77777777" w:rsidR="004B5DE9" w:rsidRDefault="00AB6549" w:rsidP="00F66623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Discussion of the 50% response rate business rule. Schools note that they’re following up with 100% of students, just not getting through to all of them, so the perceived flexibility isn’t really there. </w:t>
      </w:r>
      <w:r w:rsidR="008D13E9">
        <w:rPr>
          <w:rFonts w:ascii="Verdana" w:hAnsi="Verdana"/>
        </w:rPr>
        <w:t>DC PCSB expresses openness to counting all eligible students in denominator and then using 90</w:t>
      </w:r>
      <w:r w:rsidR="008D13E9" w:rsidRPr="008D13E9">
        <w:rPr>
          <w:rFonts w:ascii="Verdana" w:hAnsi="Verdana"/>
          <w:vertAlign w:val="superscript"/>
        </w:rPr>
        <w:t>th</w:t>
      </w:r>
      <w:r w:rsidR="008D13E9">
        <w:rPr>
          <w:rFonts w:ascii="Verdana" w:hAnsi="Verdana"/>
        </w:rPr>
        <w:t xml:space="preserve"> percentile for target.</w:t>
      </w:r>
      <w:r w:rsidR="004B5DE9">
        <w:rPr>
          <w:rFonts w:ascii="Verdana" w:hAnsi="Verdana"/>
        </w:rPr>
        <w:t xml:space="preserve"> </w:t>
      </w:r>
    </w:p>
    <w:p w14:paraId="2A4986B3" w14:textId="20372570" w:rsidR="00B60695" w:rsidRDefault="004B5DE9" w:rsidP="00F66623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Task force discusses the appropriate nature of the current response rate given the challenges of student follow-up, emphasizing that this conversation should not be about the </w:t>
      </w:r>
      <w:r>
        <w:rPr>
          <w:rFonts w:ascii="Verdana" w:hAnsi="Verdana"/>
        </w:rPr>
        <w:lastRenderedPageBreak/>
        <w:t>changing the response rate but transitioning the target from aspirational to the 90</w:t>
      </w:r>
      <w:r w:rsidRPr="004B5DE9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percentile.</w:t>
      </w:r>
    </w:p>
    <w:p w14:paraId="636337C1" w14:textId="5C761119" w:rsidR="00F509F4" w:rsidRDefault="00B60695" w:rsidP="00B60695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For </w:t>
      </w:r>
      <w:r w:rsidRPr="001B3A60">
        <w:rPr>
          <w:rFonts w:ascii="Verdana" w:hAnsi="Verdana"/>
          <w:b/>
        </w:rPr>
        <w:t>Leading Indicators</w:t>
      </w:r>
      <w:r>
        <w:rPr>
          <w:rFonts w:ascii="Verdana" w:hAnsi="Verdana"/>
        </w:rPr>
        <w:t xml:space="preserve">, </w:t>
      </w:r>
      <w:r w:rsidR="00F509F4">
        <w:rPr>
          <w:rFonts w:ascii="Verdana" w:hAnsi="Verdana"/>
        </w:rPr>
        <w:t>use 10</w:t>
      </w:r>
      <w:r w:rsidR="00F509F4" w:rsidRPr="00F509F4">
        <w:rPr>
          <w:rFonts w:ascii="Verdana" w:hAnsi="Verdana"/>
          <w:vertAlign w:val="superscript"/>
        </w:rPr>
        <w:t>th</w:t>
      </w:r>
      <w:r w:rsidR="00F509F4">
        <w:rPr>
          <w:rFonts w:ascii="Verdana" w:hAnsi="Verdana"/>
        </w:rPr>
        <w:t xml:space="preserve"> and 90</w:t>
      </w:r>
      <w:r w:rsidR="00F509F4" w:rsidRPr="00F509F4">
        <w:rPr>
          <w:rFonts w:ascii="Verdana" w:hAnsi="Verdana"/>
          <w:vertAlign w:val="superscript"/>
        </w:rPr>
        <w:t>th</w:t>
      </w:r>
      <w:r w:rsidR="00F509F4">
        <w:rPr>
          <w:rFonts w:ascii="Verdana" w:hAnsi="Verdana"/>
        </w:rPr>
        <w:t xml:space="preserve"> percentile for </w:t>
      </w:r>
      <w:r w:rsidR="003D2E53">
        <w:rPr>
          <w:rFonts w:ascii="Verdana" w:hAnsi="Verdana"/>
        </w:rPr>
        <w:t>floors and targets, respectively.</w:t>
      </w:r>
    </w:p>
    <w:p w14:paraId="72A8AC19" w14:textId="6EEAC2D2" w:rsidR="004B5DE9" w:rsidRPr="0081471A" w:rsidRDefault="00F509F4" w:rsidP="0081471A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Using 90</w:t>
      </w:r>
      <w:r w:rsidRPr="00F509F4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percentile for target instead of aspirational target because of adult student barriers to attendance and enrollment</w:t>
      </w:r>
      <w:r w:rsidR="003D2E53">
        <w:rPr>
          <w:rFonts w:ascii="Verdana" w:hAnsi="Verdana"/>
        </w:rPr>
        <w:t xml:space="preserve">. </w:t>
      </w:r>
    </w:p>
    <w:p w14:paraId="29A72EAC" w14:textId="77777777" w:rsidR="007D694F" w:rsidRDefault="007D694F" w:rsidP="007D694F">
      <w:pPr>
        <w:pStyle w:val="ListParagraph"/>
        <w:ind w:left="1440"/>
        <w:rPr>
          <w:rFonts w:ascii="Verdana" w:hAnsi="Verdana"/>
          <w:b/>
          <w:u w:val="single"/>
        </w:rPr>
      </w:pPr>
    </w:p>
    <w:p w14:paraId="0B6B89CE" w14:textId="09CE0AB2" w:rsidR="008474F2" w:rsidRDefault="008474F2" w:rsidP="00ED4562">
      <w:pPr>
        <w:pStyle w:val="ListParagraph"/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Impact Analysis</w:t>
      </w:r>
    </w:p>
    <w:p w14:paraId="4D6289AF" w14:textId="2D1D7448" w:rsidR="00CA576C" w:rsidRDefault="00D9265A" w:rsidP="00ED0019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In SY 2016-17, both </w:t>
      </w:r>
      <w:r w:rsidRPr="00D9265A">
        <w:rPr>
          <w:rFonts w:ascii="Verdana" w:hAnsi="Verdana"/>
          <w:b/>
        </w:rPr>
        <w:t xml:space="preserve">Option 1 </w:t>
      </w:r>
      <w:r>
        <w:rPr>
          <w:rFonts w:ascii="Verdana" w:hAnsi="Verdana"/>
        </w:rPr>
        <w:t xml:space="preserve">and </w:t>
      </w:r>
      <w:r w:rsidRPr="00D9265A">
        <w:rPr>
          <w:rFonts w:ascii="Verdana" w:hAnsi="Verdana"/>
          <w:b/>
        </w:rPr>
        <w:t xml:space="preserve">Option 2 </w:t>
      </w:r>
      <w:r>
        <w:rPr>
          <w:rFonts w:ascii="Verdana" w:hAnsi="Verdana"/>
        </w:rPr>
        <w:t>resulted in the same tiers as</w:t>
      </w:r>
      <w:r w:rsidR="00320B47">
        <w:rPr>
          <w:rFonts w:ascii="Verdana" w:hAnsi="Verdana"/>
        </w:rPr>
        <w:t xml:space="preserve"> assigned on the 2017 PMF</w:t>
      </w:r>
      <w:r w:rsidR="00CA576C">
        <w:rPr>
          <w:rFonts w:ascii="Verdana" w:hAnsi="Verdana"/>
        </w:rPr>
        <w:t xml:space="preserve">, with Option 2 resulting in slightly higher </w:t>
      </w:r>
      <w:r w:rsidR="00E83943">
        <w:rPr>
          <w:rFonts w:ascii="Verdana" w:hAnsi="Verdana"/>
        </w:rPr>
        <w:t>summative rate</w:t>
      </w:r>
      <w:r w:rsidR="00CA576C">
        <w:rPr>
          <w:rFonts w:ascii="Verdana" w:hAnsi="Verdana"/>
        </w:rPr>
        <w:t xml:space="preserve">s </w:t>
      </w:r>
    </w:p>
    <w:p w14:paraId="40202CE5" w14:textId="58FB5856" w:rsidR="00ED0019" w:rsidRDefault="00ED0019" w:rsidP="00ED0019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Q: Can DC PCSB share out a de-identified version of analysis with individual schools?</w:t>
      </w:r>
    </w:p>
    <w:p w14:paraId="3D78BBAD" w14:textId="181EB177" w:rsidR="00ED0019" w:rsidRPr="00ED0019" w:rsidRDefault="00ED0019" w:rsidP="00ED0019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A: Yes.</w:t>
      </w:r>
    </w:p>
    <w:p w14:paraId="3BBED481" w14:textId="77777777" w:rsidR="00CB54C6" w:rsidRPr="00CB54C6" w:rsidRDefault="00CB54C6" w:rsidP="00CB54C6">
      <w:pPr>
        <w:pStyle w:val="ListParagraph"/>
        <w:ind w:left="1440"/>
        <w:rPr>
          <w:rFonts w:ascii="Verdana" w:hAnsi="Verdana"/>
          <w:b/>
          <w:u w:val="single"/>
        </w:rPr>
      </w:pPr>
    </w:p>
    <w:p w14:paraId="1B5CFDA1" w14:textId="1B5EA9CB" w:rsidR="001F1CF5" w:rsidRDefault="008474F2" w:rsidP="00CB54C6">
      <w:pPr>
        <w:pStyle w:val="ListParagraph"/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Next Steps</w:t>
      </w:r>
    </w:p>
    <w:p w14:paraId="19A4A199" w14:textId="23C0A3DA" w:rsidR="00CB54C6" w:rsidRDefault="009F67C5" w:rsidP="00CB54C6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Contact Melodi or Paul to set up follow-up conversations</w:t>
      </w:r>
    </w:p>
    <w:p w14:paraId="305AA1A9" w14:textId="5E026D84" w:rsidR="009F67C5" w:rsidRDefault="009F67C5" w:rsidP="00CB54C6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Feedback form due no later than June 25</w:t>
      </w:r>
    </w:p>
    <w:p w14:paraId="1E3044FC" w14:textId="3263114F" w:rsidR="009F67C5" w:rsidRDefault="009F67C5" w:rsidP="00CB54C6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Proposed SY 2018-19 PMF Technical Guide Timeline</w:t>
      </w:r>
    </w:p>
    <w:p w14:paraId="6D207257" w14:textId="2EDD8541" w:rsidR="009F67C5" w:rsidRDefault="000935D4" w:rsidP="009F67C5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Open for Public Comment: June 29</w:t>
      </w:r>
    </w:p>
    <w:p w14:paraId="5FA010D0" w14:textId="2B3A6D2E" w:rsidR="000935D4" w:rsidRDefault="000935D4" w:rsidP="000935D4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Public Hearing: July 23</w:t>
      </w:r>
    </w:p>
    <w:p w14:paraId="7B7B3F1F" w14:textId="59D88CAE" w:rsidR="005A39B9" w:rsidRDefault="005A39B9" w:rsidP="000935D4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End Public Comment: July 30</w:t>
      </w:r>
    </w:p>
    <w:p w14:paraId="58DAF540" w14:textId="0CA3E625" w:rsidR="000935D4" w:rsidRPr="000935D4" w:rsidRDefault="000935D4" w:rsidP="000935D4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Board Vote: September 17</w:t>
      </w:r>
    </w:p>
    <w:sectPr w:rsidR="000935D4" w:rsidRPr="000935D4" w:rsidSect="0063124D">
      <w:headerReference w:type="default" r:id="rId8"/>
      <w:pgSz w:w="12520" w:h="16120"/>
      <w:pgMar w:top="1440" w:right="1440" w:bottom="1440" w:left="1440" w:header="27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1F166" w14:textId="77777777" w:rsidR="00983FD0" w:rsidRDefault="00983FD0" w:rsidP="00ED4562">
      <w:pPr>
        <w:spacing w:after="0" w:line="240" w:lineRule="auto"/>
      </w:pPr>
      <w:r>
        <w:separator/>
      </w:r>
    </w:p>
  </w:endnote>
  <w:endnote w:type="continuationSeparator" w:id="0">
    <w:p w14:paraId="54BAB08C" w14:textId="77777777" w:rsidR="00983FD0" w:rsidRDefault="00983FD0" w:rsidP="00ED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B3DAD" w14:textId="77777777" w:rsidR="00983FD0" w:rsidRDefault="00983FD0" w:rsidP="00ED4562">
      <w:pPr>
        <w:spacing w:after="0" w:line="240" w:lineRule="auto"/>
      </w:pPr>
      <w:r>
        <w:separator/>
      </w:r>
    </w:p>
  </w:footnote>
  <w:footnote w:type="continuationSeparator" w:id="0">
    <w:p w14:paraId="010DC14F" w14:textId="77777777" w:rsidR="00983FD0" w:rsidRDefault="00983FD0" w:rsidP="00ED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2F80B" w14:textId="77777777" w:rsidR="00ED4562" w:rsidRDefault="00ED4562">
    <w:pPr>
      <w:pStyle w:val="Header"/>
    </w:pPr>
  </w:p>
  <w:p w14:paraId="2D52AB2B" w14:textId="77777777" w:rsidR="00ED4562" w:rsidRDefault="00ED4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97C5E"/>
    <w:multiLevelType w:val="hybridMultilevel"/>
    <w:tmpl w:val="5EB2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62"/>
    <w:rsid w:val="000127C2"/>
    <w:rsid w:val="000935D4"/>
    <w:rsid w:val="000B0F94"/>
    <w:rsid w:val="000D0DF1"/>
    <w:rsid w:val="001463A8"/>
    <w:rsid w:val="00147448"/>
    <w:rsid w:val="001748C7"/>
    <w:rsid w:val="001939A4"/>
    <w:rsid w:val="001B220C"/>
    <w:rsid w:val="001B3A60"/>
    <w:rsid w:val="001F1CF5"/>
    <w:rsid w:val="00201F1D"/>
    <w:rsid w:val="002109D0"/>
    <w:rsid w:val="00210F88"/>
    <w:rsid w:val="002327ED"/>
    <w:rsid w:val="00262640"/>
    <w:rsid w:val="00320B47"/>
    <w:rsid w:val="003210CF"/>
    <w:rsid w:val="00367F9E"/>
    <w:rsid w:val="003B0350"/>
    <w:rsid w:val="003B4BE4"/>
    <w:rsid w:val="003D1E81"/>
    <w:rsid w:val="003D2E53"/>
    <w:rsid w:val="003D66BF"/>
    <w:rsid w:val="003F7CAB"/>
    <w:rsid w:val="004033B6"/>
    <w:rsid w:val="00430A1B"/>
    <w:rsid w:val="00486EE4"/>
    <w:rsid w:val="004B5DE9"/>
    <w:rsid w:val="004C5879"/>
    <w:rsid w:val="004F4B8D"/>
    <w:rsid w:val="004F7B77"/>
    <w:rsid w:val="00521679"/>
    <w:rsid w:val="00541CAD"/>
    <w:rsid w:val="005A39B9"/>
    <w:rsid w:val="00612713"/>
    <w:rsid w:val="0063124D"/>
    <w:rsid w:val="006538FF"/>
    <w:rsid w:val="00671EF7"/>
    <w:rsid w:val="0069421A"/>
    <w:rsid w:val="00697CBA"/>
    <w:rsid w:val="006E2DEE"/>
    <w:rsid w:val="00713615"/>
    <w:rsid w:val="00761851"/>
    <w:rsid w:val="00784D84"/>
    <w:rsid w:val="007D694F"/>
    <w:rsid w:val="007E1CE2"/>
    <w:rsid w:val="007E64D6"/>
    <w:rsid w:val="0081471A"/>
    <w:rsid w:val="00837B2F"/>
    <w:rsid w:val="008474F2"/>
    <w:rsid w:val="00861E2A"/>
    <w:rsid w:val="00876363"/>
    <w:rsid w:val="00880948"/>
    <w:rsid w:val="00883A4A"/>
    <w:rsid w:val="008B331E"/>
    <w:rsid w:val="008D13E9"/>
    <w:rsid w:val="008E765D"/>
    <w:rsid w:val="008F70AF"/>
    <w:rsid w:val="00931CD4"/>
    <w:rsid w:val="009328DA"/>
    <w:rsid w:val="00934ED8"/>
    <w:rsid w:val="009365D7"/>
    <w:rsid w:val="00946235"/>
    <w:rsid w:val="00952795"/>
    <w:rsid w:val="00983FD0"/>
    <w:rsid w:val="009B1A2E"/>
    <w:rsid w:val="009C4720"/>
    <w:rsid w:val="009D6FF6"/>
    <w:rsid w:val="009F67C5"/>
    <w:rsid w:val="00A048B2"/>
    <w:rsid w:val="00A05027"/>
    <w:rsid w:val="00A106EB"/>
    <w:rsid w:val="00A311A9"/>
    <w:rsid w:val="00A37AC9"/>
    <w:rsid w:val="00A403A2"/>
    <w:rsid w:val="00A746CC"/>
    <w:rsid w:val="00AB2D2D"/>
    <w:rsid w:val="00AB6549"/>
    <w:rsid w:val="00AC005E"/>
    <w:rsid w:val="00AC09B6"/>
    <w:rsid w:val="00AF0D4C"/>
    <w:rsid w:val="00B46AD1"/>
    <w:rsid w:val="00B60695"/>
    <w:rsid w:val="00B94E3C"/>
    <w:rsid w:val="00BB0D08"/>
    <w:rsid w:val="00BB541F"/>
    <w:rsid w:val="00C00351"/>
    <w:rsid w:val="00C431B7"/>
    <w:rsid w:val="00C45F4A"/>
    <w:rsid w:val="00C86419"/>
    <w:rsid w:val="00C93460"/>
    <w:rsid w:val="00C94E7C"/>
    <w:rsid w:val="00CA576C"/>
    <w:rsid w:val="00CB54C6"/>
    <w:rsid w:val="00CF1472"/>
    <w:rsid w:val="00CF2A17"/>
    <w:rsid w:val="00D37523"/>
    <w:rsid w:val="00D5110A"/>
    <w:rsid w:val="00D75D91"/>
    <w:rsid w:val="00D87E29"/>
    <w:rsid w:val="00D9265A"/>
    <w:rsid w:val="00DD218D"/>
    <w:rsid w:val="00DE1D68"/>
    <w:rsid w:val="00E053D8"/>
    <w:rsid w:val="00E47C7E"/>
    <w:rsid w:val="00E6259B"/>
    <w:rsid w:val="00E83943"/>
    <w:rsid w:val="00E9168B"/>
    <w:rsid w:val="00ED0019"/>
    <w:rsid w:val="00ED4562"/>
    <w:rsid w:val="00EE0E29"/>
    <w:rsid w:val="00EE4069"/>
    <w:rsid w:val="00F00F90"/>
    <w:rsid w:val="00F509F4"/>
    <w:rsid w:val="00F66623"/>
    <w:rsid w:val="00F8342C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26BC2"/>
  <w14:defaultImageDpi w14:val="32767"/>
  <w15:chartTrackingRefBased/>
  <w15:docId w15:val="{EC356B69-398B-7A4A-9537-3E86FDFE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1472"/>
  </w:style>
  <w:style w:type="paragraph" w:styleId="Heading1">
    <w:name w:val="heading 1"/>
    <w:basedOn w:val="Normal"/>
    <w:next w:val="Normal"/>
    <w:link w:val="Heading1Char"/>
    <w:uiPriority w:val="9"/>
    <w:qFormat/>
    <w:rsid w:val="00CF1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4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14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14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14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14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4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14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BodyText"/>
    <w:next w:val="BodyText"/>
    <w:qFormat/>
    <w:rsid w:val="00CF1472"/>
    <w:pPr>
      <w:spacing w:before="180" w:after="180"/>
    </w:pPr>
  </w:style>
  <w:style w:type="paragraph" w:styleId="BodyText">
    <w:name w:val="Body Text"/>
    <w:basedOn w:val="Normal"/>
    <w:link w:val="BodyTextChar"/>
    <w:uiPriority w:val="99"/>
    <w:semiHidden/>
    <w:unhideWhenUsed/>
    <w:rsid w:val="00CF14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1472"/>
  </w:style>
  <w:style w:type="paragraph" w:customStyle="1" w:styleId="Compact">
    <w:name w:val="Compact"/>
    <w:basedOn w:val="BodyText"/>
    <w:qFormat/>
    <w:rsid w:val="00CF1472"/>
    <w:pPr>
      <w:spacing w:before="36" w:after="36"/>
    </w:pPr>
  </w:style>
  <w:style w:type="paragraph" w:customStyle="1" w:styleId="Author">
    <w:name w:val="Author"/>
    <w:next w:val="BodyText"/>
    <w:qFormat/>
    <w:rsid w:val="00CF1472"/>
    <w:pPr>
      <w:keepNext/>
      <w:keepLines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CF1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4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F14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F14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F14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F14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4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F14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CF147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CF1472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F14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14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4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14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Date">
    <w:name w:val="Date"/>
    <w:next w:val="BodyText"/>
    <w:link w:val="DateChar"/>
    <w:qFormat/>
    <w:rsid w:val="00CF1472"/>
    <w:pPr>
      <w:keepNext/>
      <w:keepLines/>
      <w:jc w:val="center"/>
    </w:pPr>
  </w:style>
  <w:style w:type="character" w:customStyle="1" w:styleId="DateChar">
    <w:name w:val="Date Char"/>
    <w:basedOn w:val="DefaultParagraphFont"/>
    <w:link w:val="Date"/>
    <w:rsid w:val="00CF1472"/>
  </w:style>
  <w:style w:type="character" w:styleId="Strong">
    <w:name w:val="Strong"/>
    <w:basedOn w:val="DefaultParagraphFont"/>
    <w:uiPriority w:val="22"/>
    <w:qFormat/>
    <w:rsid w:val="00CF1472"/>
    <w:rPr>
      <w:b/>
      <w:bCs/>
    </w:rPr>
  </w:style>
  <w:style w:type="character" w:styleId="Emphasis">
    <w:name w:val="Emphasis"/>
    <w:basedOn w:val="DefaultParagraphFont"/>
    <w:uiPriority w:val="20"/>
    <w:qFormat/>
    <w:rsid w:val="00CF1472"/>
    <w:rPr>
      <w:i/>
      <w:iCs/>
    </w:rPr>
  </w:style>
  <w:style w:type="paragraph" w:styleId="NoSpacing">
    <w:name w:val="No Spacing"/>
    <w:link w:val="NoSpacingChar"/>
    <w:uiPriority w:val="1"/>
    <w:qFormat/>
    <w:rsid w:val="00CF147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F1472"/>
  </w:style>
  <w:style w:type="paragraph" w:styleId="ListParagraph">
    <w:name w:val="List Paragraph"/>
    <w:basedOn w:val="Normal"/>
    <w:uiPriority w:val="34"/>
    <w:qFormat/>
    <w:rsid w:val="00CF14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147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147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4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47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F147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F147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F147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F147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147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F147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D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562"/>
  </w:style>
  <w:style w:type="paragraph" w:styleId="Footer">
    <w:name w:val="footer"/>
    <w:basedOn w:val="Normal"/>
    <w:link w:val="FooterChar"/>
    <w:uiPriority w:val="99"/>
    <w:unhideWhenUsed/>
    <w:rsid w:val="00ED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562"/>
  </w:style>
  <w:style w:type="paragraph" w:customStyle="1" w:styleId="Default">
    <w:name w:val="Default"/>
    <w:rsid w:val="00A05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EAAE1F-AD43-7F4A-BF28-1BEC7804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Petrin</dc:creator>
  <cp:keywords/>
  <dc:description/>
  <cp:lastModifiedBy>Melodi Sampson</cp:lastModifiedBy>
  <cp:revision>7</cp:revision>
  <dcterms:created xsi:type="dcterms:W3CDTF">2018-06-20T20:22:00Z</dcterms:created>
  <dcterms:modified xsi:type="dcterms:W3CDTF">2018-06-21T21:49:00Z</dcterms:modified>
</cp:coreProperties>
</file>